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教学反思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1.</w:t>
      </w:r>
      <w:r>
        <w:rPr>
          <w:rFonts w:hint="eastAsia"/>
          <w:color w:val="333333"/>
        </w:rPr>
        <w:t>导入新课时采用谈话的形式，不仅了解了字谜的特点，也初步感知了猜字谜的方法，为新课的学习做好铺垫。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2.</w:t>
      </w:r>
      <w:r>
        <w:rPr>
          <w:rFonts w:hint="eastAsia"/>
          <w:color w:val="333333"/>
        </w:rPr>
        <w:t>能够引导学生采用多种方法识记生字，从读词、读短语识字，到小组内互助识字，再到游戏闯关巩固识字等，认字有层次、有梯度，通过这样的反复训练，学生对字词的识记得到了巩固。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0F3C52" w:usb2="00000016" w:usb3="00000000" w:csb0="0004001F" w:csb1="00000000"/>
  </w:font>
  <w:font w:name="Helvetica Neu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49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terms:modified xsi:type="dcterms:W3CDTF">2017-12-19T07:56:02Z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